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39EF" w14:textId="77777777" w:rsidR="00AA403C" w:rsidRDefault="00AA403C">
      <w:pPr>
        <w:spacing w:line="220" w:lineRule="atLeast"/>
      </w:pPr>
    </w:p>
    <w:p w14:paraId="498E6E80" w14:textId="5C1FD9F0" w:rsidR="00AA403C" w:rsidRPr="00432A51" w:rsidRDefault="00432A51">
      <w:pPr>
        <w:jc w:val="center"/>
        <w:rPr>
          <w:rFonts w:ascii="楷体" w:eastAsia="楷体" w:hAnsi="楷体"/>
          <w:sz w:val="52"/>
          <w:szCs w:val="52"/>
        </w:rPr>
      </w:pPr>
      <w:r w:rsidRPr="00432A51">
        <w:rPr>
          <w:rFonts w:ascii="楷体" w:eastAsia="楷体" w:hAnsi="楷体" w:hint="eastAsia"/>
          <w:sz w:val="52"/>
          <w:szCs w:val="52"/>
        </w:rPr>
        <w:t>T</w:t>
      </w:r>
      <w:r w:rsidRPr="00432A51">
        <w:rPr>
          <w:rFonts w:ascii="楷体" w:eastAsia="楷体" w:hAnsi="楷体"/>
          <w:sz w:val="52"/>
          <w:szCs w:val="52"/>
        </w:rPr>
        <w:t>FN MS7P</w:t>
      </w:r>
      <w:r w:rsidRPr="00432A51">
        <w:rPr>
          <w:rFonts w:ascii="楷体" w:eastAsia="楷体" w:hAnsi="楷体" w:hint="eastAsia"/>
          <w:sz w:val="52"/>
          <w:szCs w:val="52"/>
        </w:rPr>
        <w:t>高性能</w:t>
      </w:r>
      <w:r>
        <w:rPr>
          <w:rFonts w:ascii="楷体" w:eastAsia="楷体" w:hAnsi="楷体" w:hint="eastAsia"/>
          <w:sz w:val="52"/>
          <w:szCs w:val="52"/>
        </w:rPr>
        <w:t>单筒</w:t>
      </w:r>
      <w:r w:rsidRPr="00432A51">
        <w:rPr>
          <w:rFonts w:ascii="楷体" w:eastAsia="楷体" w:hAnsi="楷体" w:hint="eastAsia"/>
          <w:sz w:val="52"/>
          <w:szCs w:val="52"/>
        </w:rPr>
        <w:t>夜视仪</w:t>
      </w:r>
    </w:p>
    <w:p w14:paraId="5ED5F224" w14:textId="5582FFC3" w:rsidR="00AA403C" w:rsidRDefault="00432A51" w:rsidP="00432A51">
      <w:pPr>
        <w:jc w:val="center"/>
        <w:rPr>
          <w:rFonts w:ascii="宋体" w:hAnsi="宋体"/>
          <w:b/>
          <w:sz w:val="36"/>
          <w:szCs w:val="36"/>
        </w:rPr>
      </w:pPr>
      <w:r>
        <w:rPr>
          <w:noProof/>
        </w:rPr>
        <w:drawing>
          <wp:inline distT="0" distB="0" distL="0" distR="0" wp14:anchorId="1D9AD095" wp14:editId="12982CAD">
            <wp:extent cx="3943847" cy="38842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0697" cy="391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7416B" w14:textId="72F69D85" w:rsidR="00AA403C" w:rsidRDefault="00000000">
      <w:pPr>
        <w:jc w:val="center"/>
        <w:rPr>
          <w:rFonts w:ascii="宋体" w:hAnsi="宋体"/>
          <w:b/>
          <w:sz w:val="36"/>
          <w:szCs w:val="36"/>
        </w:rPr>
      </w:pPr>
      <w:r>
        <w:rPr>
          <w:noProof/>
        </w:rPr>
        <w:drawing>
          <wp:inline distT="0" distB="0" distL="114300" distR="114300" wp14:anchorId="44A0BB7D" wp14:editId="65457244">
            <wp:extent cx="5379720" cy="185928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5EBC0" w14:textId="1C14619E" w:rsidR="00432A51" w:rsidRDefault="00432A51">
      <w:pPr>
        <w:jc w:val="center"/>
        <w:rPr>
          <w:rFonts w:ascii="宋体" w:hAnsi="宋体" w:hint="eastAsia"/>
          <w:b/>
          <w:sz w:val="36"/>
          <w:szCs w:val="36"/>
        </w:rPr>
      </w:pPr>
    </w:p>
    <w:p w14:paraId="215586C1" w14:textId="77777777" w:rsidR="00AA403C" w:rsidRPr="00432A51" w:rsidRDefault="00000000">
      <w:pPr>
        <w:pStyle w:val="a5"/>
        <w:rPr>
          <w:rFonts w:ascii="楷体" w:eastAsia="楷体" w:hAnsi="楷体"/>
          <w:sz w:val="28"/>
          <w:szCs w:val="28"/>
        </w:rPr>
      </w:pPr>
      <w:r w:rsidRPr="00432A51">
        <w:rPr>
          <w:rFonts w:ascii="楷体" w:eastAsia="楷体" w:hAnsi="楷体" w:hint="eastAsia"/>
          <w:sz w:val="28"/>
          <w:szCs w:val="28"/>
        </w:rPr>
        <w:t>产品特点：</w:t>
      </w:r>
    </w:p>
    <w:p w14:paraId="691F6EA1" w14:textId="77777777" w:rsidR="00AA403C" w:rsidRPr="00432A51" w:rsidRDefault="00000000">
      <w:pPr>
        <w:pStyle w:val="a5"/>
        <w:rPr>
          <w:rFonts w:ascii="楷体" w:eastAsia="楷体" w:hAnsi="楷体"/>
          <w:sz w:val="28"/>
          <w:szCs w:val="28"/>
        </w:rPr>
      </w:pPr>
      <w:r w:rsidRPr="00432A51">
        <w:rPr>
          <w:rFonts w:ascii="楷体" w:eastAsia="楷体" w:hAnsi="楷体" w:hint="eastAsia"/>
          <w:sz w:val="28"/>
          <w:szCs w:val="28"/>
        </w:rPr>
        <w:t>1.分辨率高于传统一代+</w:t>
      </w:r>
    </w:p>
    <w:p w14:paraId="75E4127E" w14:textId="77777777" w:rsidR="00AA403C" w:rsidRPr="00432A51" w:rsidRDefault="00000000">
      <w:pPr>
        <w:pStyle w:val="a5"/>
        <w:rPr>
          <w:rFonts w:ascii="楷体" w:eastAsia="楷体" w:hAnsi="楷体"/>
          <w:sz w:val="28"/>
          <w:szCs w:val="28"/>
        </w:rPr>
      </w:pPr>
      <w:r w:rsidRPr="00432A51">
        <w:rPr>
          <w:rFonts w:ascii="楷体" w:eastAsia="楷体" w:hAnsi="楷体" w:hint="eastAsia"/>
          <w:sz w:val="28"/>
          <w:szCs w:val="28"/>
        </w:rPr>
        <w:t>2.可昼夜两用</w:t>
      </w:r>
    </w:p>
    <w:p w14:paraId="49A65D37" w14:textId="77777777" w:rsidR="00AA403C" w:rsidRPr="00432A51" w:rsidRDefault="00000000">
      <w:pPr>
        <w:pStyle w:val="a5"/>
        <w:rPr>
          <w:rFonts w:ascii="楷体" w:eastAsia="楷体" w:hAnsi="楷体"/>
          <w:sz w:val="28"/>
          <w:szCs w:val="28"/>
          <w:lang w:val="zh-CN"/>
        </w:rPr>
      </w:pPr>
      <w:r w:rsidRPr="00432A51">
        <w:rPr>
          <w:rFonts w:ascii="楷体" w:eastAsia="楷体" w:hAnsi="楷体" w:hint="eastAsia"/>
          <w:sz w:val="28"/>
          <w:szCs w:val="28"/>
        </w:rPr>
        <w:t>3.</w:t>
      </w:r>
      <w:r w:rsidRPr="00432A51">
        <w:rPr>
          <w:rFonts w:ascii="楷体" w:eastAsia="楷体" w:hAnsi="楷体" w:cs="宋体" w:hint="eastAsia"/>
          <w:sz w:val="28"/>
          <w:szCs w:val="28"/>
          <w:lang w:val="zh-CN"/>
        </w:rPr>
        <w:t>性能优良、体积小、重是轻、成像清晰、操作简单</w:t>
      </w:r>
    </w:p>
    <w:p w14:paraId="0E52E11F" w14:textId="77777777" w:rsidR="00AA403C" w:rsidRPr="00432A51" w:rsidRDefault="00000000">
      <w:pPr>
        <w:pStyle w:val="a5"/>
        <w:rPr>
          <w:rFonts w:ascii="楷体" w:eastAsia="楷体" w:hAnsi="楷体"/>
          <w:sz w:val="28"/>
          <w:szCs w:val="28"/>
          <w:lang w:val="zh-CN"/>
        </w:rPr>
      </w:pPr>
      <w:r w:rsidRPr="00432A51">
        <w:rPr>
          <w:rFonts w:ascii="楷体" w:eastAsia="楷体" w:hAnsi="楷体" w:hint="eastAsia"/>
          <w:sz w:val="28"/>
          <w:szCs w:val="28"/>
        </w:rPr>
        <w:t>4.</w:t>
      </w:r>
      <w:r w:rsidRPr="00432A51">
        <w:rPr>
          <w:rFonts w:ascii="楷体" w:eastAsia="楷体" w:hAnsi="楷体" w:cs="宋体" w:hint="eastAsia"/>
          <w:sz w:val="28"/>
          <w:szCs w:val="28"/>
          <w:lang w:val="zh-CN"/>
        </w:rPr>
        <w:t>实用性强，</w:t>
      </w:r>
      <w:r w:rsidRPr="00432A51">
        <w:rPr>
          <w:rFonts w:ascii="楷体" w:eastAsia="楷体" w:hAnsi="楷体" w:hint="eastAsia"/>
          <w:sz w:val="28"/>
          <w:szCs w:val="28"/>
          <w:lang w:val="zh-CN"/>
        </w:rPr>
        <w:t>实</w:t>
      </w:r>
      <w:r w:rsidRPr="00432A51">
        <w:rPr>
          <w:rFonts w:ascii="楷体" w:eastAsia="楷体" w:hAnsi="楷体" w:cs="宋体" w:hint="eastAsia"/>
          <w:sz w:val="28"/>
          <w:szCs w:val="28"/>
          <w:lang w:val="zh-CN"/>
        </w:rPr>
        <w:t>用于夜间微光及无照明环境下观察</w:t>
      </w:r>
    </w:p>
    <w:p w14:paraId="1C932972" w14:textId="77777777" w:rsidR="00AA403C" w:rsidRPr="00432A51" w:rsidRDefault="00000000">
      <w:pPr>
        <w:pStyle w:val="a5"/>
        <w:rPr>
          <w:rFonts w:ascii="楷体" w:eastAsia="楷体" w:hAnsi="楷体"/>
          <w:sz w:val="28"/>
          <w:szCs w:val="28"/>
        </w:rPr>
      </w:pPr>
      <w:r w:rsidRPr="00432A51">
        <w:rPr>
          <w:rFonts w:ascii="楷体" w:eastAsia="楷体" w:hAnsi="楷体" w:hint="eastAsia"/>
          <w:sz w:val="28"/>
          <w:szCs w:val="28"/>
        </w:rPr>
        <w:t>产品描述：</w:t>
      </w:r>
    </w:p>
    <w:p w14:paraId="54A9C351" w14:textId="77777777" w:rsidR="00AA403C" w:rsidRPr="00432A51" w:rsidRDefault="00000000">
      <w:pPr>
        <w:pStyle w:val="a5"/>
        <w:rPr>
          <w:rFonts w:ascii="楷体" w:eastAsia="楷体" w:hAnsi="楷体"/>
          <w:sz w:val="28"/>
          <w:szCs w:val="28"/>
          <w:lang w:val="zh-CN"/>
        </w:rPr>
      </w:pPr>
      <w:r w:rsidRPr="00432A51">
        <w:rPr>
          <w:rFonts w:ascii="楷体" w:eastAsia="楷体" w:hAnsi="楷体" w:hint="eastAsia"/>
          <w:sz w:val="28"/>
          <w:szCs w:val="28"/>
        </w:rPr>
        <w:t>一款多功能的数码夜视仪，完全不受环境光线限制,</w:t>
      </w:r>
      <w:r w:rsidRPr="00432A51">
        <w:rPr>
          <w:rFonts w:ascii="楷体" w:eastAsia="楷体" w:hAnsi="楷体" w:cs="宋体" w:hint="eastAsia"/>
          <w:sz w:val="28"/>
          <w:szCs w:val="28"/>
          <w:lang w:val="zh-CN"/>
        </w:rPr>
        <w:t xml:space="preserve"> 自动透雰，智能红外开关，</w:t>
      </w:r>
      <w:r w:rsidRPr="00432A51">
        <w:rPr>
          <w:rFonts w:ascii="楷体" w:eastAsia="楷体" w:hAnsi="楷体" w:hint="eastAsia"/>
          <w:sz w:val="28"/>
          <w:szCs w:val="28"/>
        </w:rPr>
        <w:t>昼夜两用的特点，</w:t>
      </w:r>
      <w:r w:rsidRPr="00432A51">
        <w:rPr>
          <w:rFonts w:ascii="楷体" w:eastAsia="楷体" w:hAnsi="楷体" w:cs="宋体" w:hint="eastAsia"/>
          <w:sz w:val="28"/>
          <w:szCs w:val="28"/>
          <w:lang w:val="zh-CN"/>
        </w:rPr>
        <w:t>广泛应用于</w:t>
      </w:r>
      <w:r w:rsidRPr="00432A51">
        <w:rPr>
          <w:rFonts w:ascii="楷体" w:eastAsia="楷体" w:hAnsi="楷体" w:hint="eastAsia"/>
          <w:sz w:val="28"/>
          <w:szCs w:val="28"/>
        </w:rPr>
        <w:t>夜间野观察、夜钓、森林防火、电力巡线、家庭安全、夜间巡逻、</w:t>
      </w:r>
      <w:r w:rsidRPr="00432A51">
        <w:rPr>
          <w:rFonts w:ascii="楷体" w:eastAsia="楷体" w:hAnsi="楷体" w:cs="宋体" w:hint="eastAsia"/>
          <w:sz w:val="28"/>
          <w:szCs w:val="28"/>
          <w:lang w:val="zh-CN"/>
        </w:rPr>
        <w:t>公安特警、</w:t>
      </w:r>
      <w:r w:rsidRPr="00432A51">
        <w:rPr>
          <w:rFonts w:ascii="楷体" w:eastAsia="楷体" w:hAnsi="楷体" w:hint="eastAsia"/>
          <w:sz w:val="28"/>
          <w:szCs w:val="28"/>
        </w:rPr>
        <w:t>反</w:t>
      </w:r>
      <w:proofErr w:type="gramStart"/>
      <w:r w:rsidRPr="00432A51">
        <w:rPr>
          <w:rFonts w:ascii="楷体" w:eastAsia="楷体" w:hAnsi="楷体" w:hint="eastAsia"/>
          <w:sz w:val="28"/>
          <w:szCs w:val="28"/>
        </w:rPr>
        <w:t>恐维稳</w:t>
      </w:r>
      <w:proofErr w:type="gramEnd"/>
      <w:r w:rsidRPr="00432A51">
        <w:rPr>
          <w:rFonts w:ascii="楷体" w:eastAsia="楷体" w:hAnsi="楷体" w:cs="宋体" w:hint="eastAsia"/>
          <w:sz w:val="28"/>
          <w:szCs w:val="28"/>
          <w:lang w:val="zh-CN"/>
        </w:rPr>
        <w:t>、应急指</w:t>
      </w:r>
      <w:r w:rsidRPr="00432A51">
        <w:rPr>
          <w:rFonts w:ascii="楷体" w:eastAsia="楷体" w:hAnsi="楷体" w:hint="eastAsia"/>
          <w:sz w:val="28"/>
          <w:szCs w:val="28"/>
        </w:rPr>
        <w:t>挥</w:t>
      </w:r>
      <w:r w:rsidRPr="00432A51">
        <w:rPr>
          <w:rFonts w:ascii="楷体" w:eastAsia="楷体" w:hAnsi="楷体" w:cs="宋体" w:hint="eastAsia"/>
          <w:sz w:val="28"/>
          <w:szCs w:val="28"/>
          <w:lang w:val="zh-CN"/>
        </w:rPr>
        <w:t>、实战演习</w:t>
      </w:r>
      <w:r w:rsidRPr="00432A51">
        <w:rPr>
          <w:rFonts w:ascii="楷体" w:eastAsia="楷体" w:hAnsi="楷体" w:hint="eastAsia"/>
          <w:sz w:val="28"/>
          <w:szCs w:val="28"/>
          <w:lang w:val="zh-CN"/>
        </w:rPr>
        <w:t>、</w:t>
      </w:r>
      <w:r w:rsidRPr="00432A51">
        <w:rPr>
          <w:rFonts w:ascii="楷体" w:eastAsia="楷体" w:hAnsi="楷体" w:hint="eastAsia"/>
          <w:sz w:val="28"/>
          <w:szCs w:val="28"/>
        </w:rPr>
        <w:t>单兵作战、</w:t>
      </w:r>
      <w:r w:rsidRPr="00432A51">
        <w:rPr>
          <w:rFonts w:ascii="楷体" w:eastAsia="楷体" w:hAnsi="楷体" w:cs="宋体" w:hint="eastAsia"/>
          <w:sz w:val="28"/>
          <w:szCs w:val="28"/>
          <w:lang w:val="zh-CN"/>
        </w:rPr>
        <w:t>部</w:t>
      </w:r>
      <w:r w:rsidRPr="00432A51">
        <w:rPr>
          <w:rFonts w:ascii="楷体" w:eastAsia="楷体" w:hAnsi="楷体" w:hint="eastAsia"/>
          <w:sz w:val="28"/>
          <w:szCs w:val="28"/>
          <w:lang w:val="zh-CN"/>
        </w:rPr>
        <w:t>队</w:t>
      </w:r>
      <w:r w:rsidRPr="00432A51">
        <w:rPr>
          <w:rFonts w:ascii="楷体" w:eastAsia="楷体" w:hAnsi="楷体" w:cs="宋体" w:hint="eastAsia"/>
          <w:sz w:val="28"/>
          <w:szCs w:val="28"/>
          <w:lang w:val="zh-CN"/>
        </w:rPr>
        <w:t>作战、跨国维和</w:t>
      </w:r>
      <w:r w:rsidRPr="00432A51">
        <w:rPr>
          <w:rFonts w:ascii="楷体" w:eastAsia="楷体" w:hAnsi="楷体" w:hint="eastAsia"/>
          <w:sz w:val="28"/>
          <w:szCs w:val="28"/>
          <w:lang w:val="zh-CN"/>
        </w:rPr>
        <w:t>、</w:t>
      </w:r>
      <w:r w:rsidRPr="00432A51">
        <w:rPr>
          <w:rFonts w:ascii="楷体" w:eastAsia="楷体" w:hAnsi="楷体" w:cs="宋体" w:hint="eastAsia"/>
          <w:sz w:val="28"/>
          <w:szCs w:val="28"/>
          <w:lang w:val="zh-CN"/>
        </w:rPr>
        <w:t>治安维稳、海防边防、</w:t>
      </w:r>
      <w:r w:rsidRPr="00432A51">
        <w:rPr>
          <w:rFonts w:ascii="楷体" w:eastAsia="楷体" w:hAnsi="楷体" w:hint="eastAsia"/>
          <w:sz w:val="28"/>
          <w:szCs w:val="28"/>
        </w:rPr>
        <w:t>消防救援</w:t>
      </w:r>
      <w:r w:rsidRPr="00432A51">
        <w:rPr>
          <w:rFonts w:ascii="楷体" w:eastAsia="楷体" w:hAnsi="楷体" w:cs="宋体" w:hint="eastAsia"/>
          <w:sz w:val="28"/>
          <w:szCs w:val="28"/>
          <w:lang w:val="zh-CN"/>
        </w:rPr>
        <w:t>、城市治安等。</w:t>
      </w:r>
    </w:p>
    <w:p w14:paraId="0FB6F084" w14:textId="77777777" w:rsidR="00AA403C" w:rsidRPr="00432A51" w:rsidRDefault="00000000">
      <w:pPr>
        <w:pStyle w:val="a5"/>
        <w:rPr>
          <w:rFonts w:ascii="楷体" w:eastAsia="楷体" w:hAnsi="楷体"/>
          <w:sz w:val="28"/>
          <w:szCs w:val="28"/>
        </w:rPr>
      </w:pPr>
      <w:r w:rsidRPr="00432A51">
        <w:rPr>
          <w:rFonts w:ascii="楷体" w:eastAsia="楷体" w:hAnsi="楷体" w:hint="eastAsia"/>
          <w:sz w:val="28"/>
          <w:szCs w:val="28"/>
        </w:rPr>
        <w:lastRenderedPageBreak/>
        <w:t>技术指标：</w:t>
      </w: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13"/>
        <w:gridCol w:w="8485"/>
      </w:tblGrid>
      <w:tr w:rsidR="00AA403C" w14:paraId="7A029D85" w14:textId="77777777">
        <w:trPr>
          <w:trHeight w:val="312"/>
        </w:trPr>
        <w:tc>
          <w:tcPr>
            <w:tcW w:w="2113" w:type="dxa"/>
            <w:shd w:val="clear" w:color="auto" w:fill="FFFFFF"/>
          </w:tcPr>
          <w:p w14:paraId="7835B59E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放大倍率</w:t>
            </w:r>
          </w:p>
        </w:tc>
        <w:tc>
          <w:tcPr>
            <w:tcW w:w="8485" w:type="dxa"/>
            <w:shd w:val="clear" w:color="auto" w:fill="FFFFFF"/>
          </w:tcPr>
          <w:p w14:paraId="3F855B0B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4x</w:t>
            </w:r>
          </w:p>
        </w:tc>
      </w:tr>
      <w:tr w:rsidR="00AA403C" w14:paraId="00A65D45" w14:textId="77777777">
        <w:trPr>
          <w:trHeight w:val="312"/>
        </w:trPr>
        <w:tc>
          <w:tcPr>
            <w:tcW w:w="2113" w:type="dxa"/>
            <w:shd w:val="clear" w:color="auto" w:fill="FFFFFF"/>
          </w:tcPr>
          <w:p w14:paraId="5161E011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透镜直径</w:t>
            </w:r>
          </w:p>
        </w:tc>
        <w:tc>
          <w:tcPr>
            <w:tcW w:w="8485" w:type="dxa"/>
            <w:shd w:val="clear" w:color="auto" w:fill="FFFFFF"/>
          </w:tcPr>
          <w:p w14:paraId="32DDC39E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FOV=10°   24mm</w:t>
            </w:r>
          </w:p>
        </w:tc>
      </w:tr>
      <w:tr w:rsidR="00AA403C" w14:paraId="3073B3A9" w14:textId="77777777">
        <w:trPr>
          <w:trHeight w:val="312"/>
        </w:trPr>
        <w:tc>
          <w:tcPr>
            <w:tcW w:w="2113" w:type="dxa"/>
            <w:shd w:val="clear" w:color="auto" w:fill="FFFFFF"/>
          </w:tcPr>
          <w:p w14:paraId="0954BD84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视频分辨率</w:t>
            </w:r>
          </w:p>
        </w:tc>
        <w:tc>
          <w:tcPr>
            <w:tcW w:w="8485" w:type="dxa"/>
            <w:shd w:val="clear" w:color="auto" w:fill="FFFFFF"/>
          </w:tcPr>
          <w:p w14:paraId="12F73332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FHD1920X1080@15FPS   960P 1280X960@30</w:t>
            </w:r>
            <w:proofErr w:type="gramStart"/>
            <w:r w:rsidRPr="00432A51">
              <w:rPr>
                <w:rFonts w:ascii="楷体" w:eastAsia="楷体" w:hAnsi="楷体" w:hint="eastAsia"/>
                <w:sz w:val="28"/>
                <w:szCs w:val="28"/>
              </w:rPr>
              <w:t>FPS  VGA</w:t>
            </w:r>
            <w:proofErr w:type="gramEnd"/>
            <w:r w:rsidRPr="00432A51">
              <w:rPr>
                <w:rFonts w:ascii="楷体" w:eastAsia="楷体" w:hAnsi="楷体" w:hint="eastAsia"/>
                <w:sz w:val="28"/>
                <w:szCs w:val="28"/>
              </w:rPr>
              <w:t xml:space="preserve"> 640X480@30FPS</w:t>
            </w:r>
          </w:p>
        </w:tc>
      </w:tr>
      <w:tr w:rsidR="00AA403C" w14:paraId="7489215B" w14:textId="77777777">
        <w:trPr>
          <w:trHeight w:val="312"/>
        </w:trPr>
        <w:tc>
          <w:tcPr>
            <w:tcW w:w="2113" w:type="dxa"/>
            <w:shd w:val="clear" w:color="auto" w:fill="FFFFFF"/>
          </w:tcPr>
          <w:p w14:paraId="61C015D9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拍照分辨率</w:t>
            </w:r>
          </w:p>
        </w:tc>
        <w:tc>
          <w:tcPr>
            <w:tcW w:w="8485" w:type="dxa"/>
            <w:shd w:val="clear" w:color="auto" w:fill="FFFFFF"/>
          </w:tcPr>
          <w:p w14:paraId="211317EA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2592X1944(5M)  2048X1536（3M） 1280X960（1M） 640X480(VGA)</w:t>
            </w:r>
          </w:p>
        </w:tc>
      </w:tr>
      <w:tr w:rsidR="00AA403C" w14:paraId="531E6DF6" w14:textId="77777777">
        <w:trPr>
          <w:trHeight w:val="312"/>
        </w:trPr>
        <w:tc>
          <w:tcPr>
            <w:tcW w:w="2113" w:type="dxa"/>
            <w:shd w:val="clear" w:color="auto" w:fill="FFFFFF"/>
            <w:vAlign w:val="bottom"/>
          </w:tcPr>
          <w:p w14:paraId="4BD1867C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激光波长</w:t>
            </w:r>
          </w:p>
        </w:tc>
        <w:tc>
          <w:tcPr>
            <w:tcW w:w="8485" w:type="dxa"/>
            <w:shd w:val="clear" w:color="auto" w:fill="FFFFFF"/>
            <w:vAlign w:val="bottom"/>
          </w:tcPr>
          <w:p w14:paraId="40212893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 xml:space="preserve">850nm </w:t>
            </w:r>
          </w:p>
        </w:tc>
      </w:tr>
      <w:tr w:rsidR="00AA403C" w14:paraId="2DDF7696" w14:textId="77777777">
        <w:trPr>
          <w:trHeight w:val="312"/>
        </w:trPr>
        <w:tc>
          <w:tcPr>
            <w:tcW w:w="2113" w:type="dxa"/>
            <w:shd w:val="clear" w:color="auto" w:fill="FFFFFF"/>
          </w:tcPr>
          <w:p w14:paraId="516D590C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红外功率</w:t>
            </w:r>
          </w:p>
        </w:tc>
        <w:tc>
          <w:tcPr>
            <w:tcW w:w="8485" w:type="dxa"/>
            <w:shd w:val="clear" w:color="auto" w:fill="FFFFFF"/>
          </w:tcPr>
          <w:p w14:paraId="6AFE03AA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3W   强红外聚光灯  7档红外调节</w:t>
            </w:r>
          </w:p>
        </w:tc>
      </w:tr>
      <w:tr w:rsidR="00AA403C" w14:paraId="4CE56312" w14:textId="77777777">
        <w:trPr>
          <w:trHeight w:val="312"/>
        </w:trPr>
        <w:tc>
          <w:tcPr>
            <w:tcW w:w="2113" w:type="dxa"/>
            <w:shd w:val="clear" w:color="auto" w:fill="FFFFFF"/>
          </w:tcPr>
          <w:p w14:paraId="70D52CA2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激光有效距离</w:t>
            </w:r>
          </w:p>
        </w:tc>
        <w:tc>
          <w:tcPr>
            <w:tcW w:w="8485" w:type="dxa"/>
            <w:shd w:val="clear" w:color="auto" w:fill="FFFFFF"/>
          </w:tcPr>
          <w:p w14:paraId="3D1E4261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200-300m</w:t>
            </w:r>
          </w:p>
        </w:tc>
      </w:tr>
      <w:tr w:rsidR="00AA403C" w14:paraId="36B4BD37" w14:textId="77777777">
        <w:trPr>
          <w:trHeight w:val="312"/>
        </w:trPr>
        <w:tc>
          <w:tcPr>
            <w:tcW w:w="2113" w:type="dxa"/>
            <w:shd w:val="clear" w:color="auto" w:fill="FFFFFF"/>
          </w:tcPr>
          <w:p w14:paraId="17168F98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观察距离</w:t>
            </w:r>
          </w:p>
        </w:tc>
        <w:tc>
          <w:tcPr>
            <w:tcW w:w="8485" w:type="dxa"/>
            <w:shd w:val="clear" w:color="auto" w:fill="FFFFFF"/>
          </w:tcPr>
          <w:p w14:paraId="578F7CD4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3m-无穷远</w:t>
            </w:r>
          </w:p>
        </w:tc>
      </w:tr>
      <w:tr w:rsidR="00AA403C" w14:paraId="4BB96B8E" w14:textId="77777777">
        <w:trPr>
          <w:trHeight w:val="312"/>
        </w:trPr>
        <w:tc>
          <w:tcPr>
            <w:tcW w:w="2113" w:type="dxa"/>
            <w:shd w:val="clear" w:color="auto" w:fill="FFFFFF"/>
          </w:tcPr>
          <w:p w14:paraId="4ECBA58C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输出</w:t>
            </w:r>
          </w:p>
        </w:tc>
        <w:tc>
          <w:tcPr>
            <w:tcW w:w="8485" w:type="dxa"/>
            <w:shd w:val="clear" w:color="auto" w:fill="FFFFFF"/>
          </w:tcPr>
          <w:p w14:paraId="759AB908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TYPE-</w:t>
            </w:r>
            <w:proofErr w:type="gramStart"/>
            <w:r w:rsidRPr="00432A51">
              <w:rPr>
                <w:rFonts w:ascii="楷体" w:eastAsia="楷体" w:hAnsi="楷体" w:hint="eastAsia"/>
                <w:sz w:val="28"/>
                <w:szCs w:val="28"/>
              </w:rPr>
              <w:t>C  USB</w:t>
            </w:r>
            <w:proofErr w:type="gramEnd"/>
            <w:r w:rsidRPr="00432A51">
              <w:rPr>
                <w:rFonts w:ascii="楷体" w:eastAsia="楷体" w:hAnsi="楷体" w:hint="eastAsia"/>
                <w:sz w:val="28"/>
                <w:szCs w:val="28"/>
              </w:rPr>
              <w:t>2.0</w:t>
            </w:r>
          </w:p>
        </w:tc>
      </w:tr>
      <w:tr w:rsidR="00AA403C" w14:paraId="4F32F75D" w14:textId="77777777">
        <w:trPr>
          <w:trHeight w:val="312"/>
        </w:trPr>
        <w:tc>
          <w:tcPr>
            <w:tcW w:w="2113" w:type="dxa"/>
            <w:shd w:val="clear" w:color="auto" w:fill="FFFFFF"/>
          </w:tcPr>
          <w:p w14:paraId="236005F9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存储</w:t>
            </w:r>
          </w:p>
        </w:tc>
        <w:tc>
          <w:tcPr>
            <w:tcW w:w="8485" w:type="dxa"/>
            <w:shd w:val="clear" w:color="auto" w:fill="FFFFFF"/>
          </w:tcPr>
          <w:p w14:paraId="35D1DDB3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最大支持32G TF卡</w:t>
            </w:r>
          </w:p>
        </w:tc>
      </w:tr>
      <w:tr w:rsidR="00AA403C" w14:paraId="0231BD12" w14:textId="77777777">
        <w:trPr>
          <w:trHeight w:val="312"/>
        </w:trPr>
        <w:tc>
          <w:tcPr>
            <w:tcW w:w="2113" w:type="dxa"/>
            <w:shd w:val="clear" w:color="auto" w:fill="FFFFFF"/>
          </w:tcPr>
          <w:p w14:paraId="714894BB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电源</w:t>
            </w:r>
          </w:p>
        </w:tc>
        <w:tc>
          <w:tcPr>
            <w:tcW w:w="8485" w:type="dxa"/>
            <w:shd w:val="clear" w:color="auto" w:fill="FFFFFF"/>
          </w:tcPr>
          <w:p w14:paraId="087EC3FF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7.5V 5节5号AA碱性电池</w:t>
            </w:r>
          </w:p>
        </w:tc>
      </w:tr>
      <w:tr w:rsidR="00AA403C" w14:paraId="14D2D539" w14:textId="77777777">
        <w:trPr>
          <w:trHeight w:val="312"/>
        </w:trPr>
        <w:tc>
          <w:tcPr>
            <w:tcW w:w="2113" w:type="dxa"/>
            <w:shd w:val="clear" w:color="auto" w:fill="FFFFFF"/>
          </w:tcPr>
          <w:p w14:paraId="492F0E31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工作温度</w:t>
            </w:r>
          </w:p>
        </w:tc>
        <w:tc>
          <w:tcPr>
            <w:tcW w:w="8485" w:type="dxa"/>
            <w:shd w:val="clear" w:color="auto" w:fill="FFFFFF"/>
          </w:tcPr>
          <w:p w14:paraId="2D403F8D" w14:textId="77777777" w:rsidR="00AA403C" w:rsidRPr="00432A51" w:rsidRDefault="00000000">
            <w:pPr>
              <w:tabs>
                <w:tab w:val="left" w:pos="720"/>
              </w:tabs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-20°C~+60°C</w:t>
            </w:r>
          </w:p>
        </w:tc>
      </w:tr>
      <w:tr w:rsidR="00AA403C" w14:paraId="3DCB1A10" w14:textId="77777777">
        <w:trPr>
          <w:trHeight w:val="312"/>
        </w:trPr>
        <w:tc>
          <w:tcPr>
            <w:tcW w:w="2113" w:type="dxa"/>
            <w:shd w:val="clear" w:color="auto" w:fill="FFFFFF"/>
          </w:tcPr>
          <w:p w14:paraId="774AACBE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存储温度</w:t>
            </w:r>
          </w:p>
        </w:tc>
        <w:tc>
          <w:tcPr>
            <w:tcW w:w="8485" w:type="dxa"/>
            <w:shd w:val="clear" w:color="auto" w:fill="FFFFFF"/>
          </w:tcPr>
          <w:p w14:paraId="06D1E858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/>
                <w:sz w:val="28"/>
                <w:szCs w:val="28"/>
              </w:rPr>
              <w:t>-30</w:t>
            </w:r>
            <w:r w:rsidRPr="00432A51">
              <w:rPr>
                <w:rFonts w:ascii="楷体" w:eastAsia="楷体" w:hAnsi="楷体" w:hint="eastAsia"/>
                <w:sz w:val="28"/>
                <w:szCs w:val="28"/>
              </w:rPr>
              <w:t>°</w:t>
            </w:r>
            <w:r w:rsidRPr="00432A51">
              <w:rPr>
                <w:rFonts w:ascii="楷体" w:eastAsia="楷体" w:hAnsi="楷体"/>
                <w:sz w:val="28"/>
                <w:szCs w:val="28"/>
              </w:rPr>
              <w:t>C~+70</w:t>
            </w:r>
            <w:r w:rsidRPr="00432A51">
              <w:rPr>
                <w:rFonts w:ascii="楷体" w:eastAsia="楷体" w:hAnsi="楷体" w:hint="eastAsia"/>
                <w:sz w:val="28"/>
                <w:szCs w:val="28"/>
              </w:rPr>
              <w:t>°</w:t>
            </w:r>
            <w:r w:rsidRPr="00432A51">
              <w:rPr>
                <w:rFonts w:ascii="楷体" w:eastAsia="楷体" w:hAnsi="楷体"/>
                <w:sz w:val="28"/>
                <w:szCs w:val="28"/>
              </w:rPr>
              <w:t>C</w:t>
            </w:r>
          </w:p>
        </w:tc>
      </w:tr>
      <w:tr w:rsidR="00AA403C" w14:paraId="6EE375C8" w14:textId="77777777">
        <w:trPr>
          <w:trHeight w:val="312"/>
        </w:trPr>
        <w:tc>
          <w:tcPr>
            <w:tcW w:w="2113" w:type="dxa"/>
            <w:shd w:val="clear" w:color="auto" w:fill="FFFFFF"/>
          </w:tcPr>
          <w:p w14:paraId="33B3A417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尺寸</w:t>
            </w:r>
          </w:p>
        </w:tc>
        <w:tc>
          <w:tcPr>
            <w:tcW w:w="8485" w:type="dxa"/>
            <w:shd w:val="clear" w:color="auto" w:fill="FFFFFF"/>
          </w:tcPr>
          <w:p w14:paraId="0DAADCC0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157mmx71mmx52mm</w:t>
            </w:r>
          </w:p>
        </w:tc>
      </w:tr>
      <w:tr w:rsidR="00AA403C" w14:paraId="2765A26B" w14:textId="77777777">
        <w:trPr>
          <w:trHeight w:val="312"/>
        </w:trPr>
        <w:tc>
          <w:tcPr>
            <w:tcW w:w="2113" w:type="dxa"/>
            <w:shd w:val="clear" w:color="auto" w:fill="FFFFFF"/>
          </w:tcPr>
          <w:p w14:paraId="272A772A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重量</w:t>
            </w:r>
          </w:p>
        </w:tc>
        <w:tc>
          <w:tcPr>
            <w:tcW w:w="8485" w:type="dxa"/>
            <w:shd w:val="clear" w:color="auto" w:fill="FFFFFF"/>
          </w:tcPr>
          <w:p w14:paraId="232A4354" w14:textId="52EDA683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180g（不含电池）</w:t>
            </w:r>
          </w:p>
        </w:tc>
      </w:tr>
      <w:tr w:rsidR="00AA403C" w14:paraId="58F3C46A" w14:textId="77777777">
        <w:trPr>
          <w:trHeight w:val="312"/>
        </w:trPr>
        <w:tc>
          <w:tcPr>
            <w:tcW w:w="2113" w:type="dxa"/>
            <w:shd w:val="clear" w:color="auto" w:fill="FFFFFF"/>
            <w:vAlign w:val="bottom"/>
          </w:tcPr>
          <w:p w14:paraId="01149F7E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配置</w:t>
            </w:r>
          </w:p>
        </w:tc>
        <w:tc>
          <w:tcPr>
            <w:tcW w:w="8485" w:type="dxa"/>
            <w:shd w:val="clear" w:color="auto" w:fill="FFFFFF"/>
            <w:vAlign w:val="bottom"/>
          </w:tcPr>
          <w:p w14:paraId="0F37563B" w14:textId="77777777" w:rsidR="00AA403C" w:rsidRPr="00432A51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 w:rsidRPr="00432A51">
              <w:rPr>
                <w:rFonts w:ascii="楷体" w:eastAsia="楷体" w:hAnsi="楷体" w:hint="eastAsia"/>
                <w:sz w:val="28"/>
                <w:szCs w:val="28"/>
              </w:rPr>
              <w:t>主机，电池，专业仪器包，试镜布，说明书，保修卡，合格证</w:t>
            </w:r>
          </w:p>
        </w:tc>
      </w:tr>
    </w:tbl>
    <w:p w14:paraId="1AC2F794" w14:textId="54F199D4" w:rsidR="00AA403C" w:rsidRDefault="00432A51" w:rsidP="00432A51">
      <w:pPr>
        <w:pStyle w:val="a5"/>
        <w:jc w:val="center"/>
      </w:pPr>
      <w:r w:rsidRPr="00432A51">
        <w:rPr>
          <w:rFonts w:ascii="宋体" w:hAnsi="宋体"/>
          <w:b/>
          <w:noProof/>
          <w:sz w:val="36"/>
          <w:szCs w:val="36"/>
        </w:rPr>
        <w:drawing>
          <wp:inline distT="0" distB="0" distL="0" distR="0" wp14:anchorId="53A73308" wp14:editId="4456F255">
            <wp:extent cx="2957361" cy="295736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63" cy="298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03C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8B5E" w14:textId="77777777" w:rsidR="000815B2" w:rsidRDefault="000815B2">
      <w:r>
        <w:separator/>
      </w:r>
    </w:p>
  </w:endnote>
  <w:endnote w:type="continuationSeparator" w:id="0">
    <w:p w14:paraId="30DFED89" w14:textId="77777777" w:rsidR="000815B2" w:rsidRDefault="0008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5E62" w14:textId="77777777" w:rsidR="000815B2" w:rsidRDefault="000815B2">
      <w:pPr>
        <w:spacing w:after="0"/>
      </w:pPr>
      <w:r>
        <w:separator/>
      </w:r>
    </w:p>
  </w:footnote>
  <w:footnote w:type="continuationSeparator" w:id="0">
    <w:p w14:paraId="343634C3" w14:textId="77777777" w:rsidR="000815B2" w:rsidRDefault="000815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FlZWE0ZTg3NWJmNGU3YjU3M2JmZjY0ZTgxMTk4ZGIifQ=="/>
  </w:docVars>
  <w:rsids>
    <w:rsidRoot w:val="00D31D50"/>
    <w:rsid w:val="00013386"/>
    <w:rsid w:val="000815B2"/>
    <w:rsid w:val="00096A7F"/>
    <w:rsid w:val="0031269B"/>
    <w:rsid w:val="00323B43"/>
    <w:rsid w:val="003D37D8"/>
    <w:rsid w:val="00426133"/>
    <w:rsid w:val="00432A51"/>
    <w:rsid w:val="004358AB"/>
    <w:rsid w:val="006C3F2E"/>
    <w:rsid w:val="008B7726"/>
    <w:rsid w:val="00AA403C"/>
    <w:rsid w:val="00BB512F"/>
    <w:rsid w:val="00D31D50"/>
    <w:rsid w:val="00FB6B60"/>
    <w:rsid w:val="177B0684"/>
    <w:rsid w:val="20EC31C4"/>
    <w:rsid w:val="76B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C4BD3"/>
  <w15:docId w15:val="{C4AA2A35-BDB5-4B14-9C39-74C2CD1D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/>
      <w:sz w:val="18"/>
      <w:szCs w:val="18"/>
    </w:rPr>
  </w:style>
  <w:style w:type="paragraph" w:styleId="a5">
    <w:name w:val="No Spacing"/>
    <w:uiPriority w:val="1"/>
    <w:qFormat/>
    <w:pPr>
      <w:adjustRightInd w:val="0"/>
      <w:snapToGrid w:val="0"/>
    </w:pPr>
    <w:rPr>
      <w:rFonts w:ascii="Tahoma" w:hAnsi="Tahom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432A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2A51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2A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2A5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273082672@qq.com</cp:lastModifiedBy>
  <cp:revision>4</cp:revision>
  <dcterms:created xsi:type="dcterms:W3CDTF">2008-09-11T17:20:00Z</dcterms:created>
  <dcterms:modified xsi:type="dcterms:W3CDTF">2022-11-01T02:46:00Z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399E7B50B0DD4765997BBBAC92EB6595</vt:lpwstr>
  </property>
</Properties>
</file>